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B7AC" w14:textId="15174733" w:rsidR="00D77FB6" w:rsidRPr="00144D9E" w:rsidRDefault="000866DE" w:rsidP="00AF27FA">
      <w:pPr>
        <w:spacing w:after="0" w:line="240" w:lineRule="auto"/>
        <w:ind w:left="5954"/>
        <w:rPr>
          <w:rFonts w:ascii="Times New Roman" w:hAnsi="Times New Roman"/>
          <w:sz w:val="19"/>
          <w:szCs w:val="19"/>
        </w:rPr>
      </w:pPr>
      <w:r>
        <w:rPr>
          <w:rFonts w:ascii="Times New Roman" w:hAnsi="Times New Roman"/>
          <w:sz w:val="19"/>
          <w:szCs w:val="19"/>
        </w:rPr>
        <w:t xml:space="preserve">   </w:t>
      </w:r>
      <w:r w:rsidR="001F0C26" w:rsidRPr="00144D9E">
        <w:rPr>
          <w:rFonts w:ascii="Times New Roman" w:hAnsi="Times New Roman"/>
          <w:sz w:val="19"/>
          <w:szCs w:val="19"/>
        </w:rPr>
        <w:t xml:space="preserve">Додаток </w:t>
      </w:r>
      <w:r w:rsidR="00C93F10" w:rsidRPr="00144D9E">
        <w:rPr>
          <w:rFonts w:ascii="Times New Roman" w:hAnsi="Times New Roman"/>
          <w:sz w:val="19"/>
          <w:szCs w:val="19"/>
        </w:rPr>
        <w:t>№</w:t>
      </w:r>
      <w:r w:rsidR="001F0C26" w:rsidRPr="00144D9E">
        <w:rPr>
          <w:rFonts w:ascii="Times New Roman" w:hAnsi="Times New Roman"/>
          <w:sz w:val="19"/>
          <w:szCs w:val="19"/>
        </w:rPr>
        <w:t xml:space="preserve"> </w:t>
      </w:r>
      <w:r w:rsidR="00D77FB6" w:rsidRPr="00144D9E">
        <w:rPr>
          <w:rFonts w:ascii="Times New Roman" w:hAnsi="Times New Roman"/>
          <w:sz w:val="19"/>
          <w:szCs w:val="19"/>
        </w:rPr>
        <w:t>1</w:t>
      </w:r>
    </w:p>
    <w:p w14:paraId="372B19AD" w14:textId="31B377BC" w:rsidR="00C93F10" w:rsidRPr="00144D9E" w:rsidRDefault="000866DE" w:rsidP="00AF27FA">
      <w:pPr>
        <w:spacing w:after="0" w:line="240" w:lineRule="auto"/>
        <w:ind w:left="5954"/>
        <w:rPr>
          <w:rFonts w:ascii="Times New Roman" w:hAnsi="Times New Roman"/>
          <w:sz w:val="19"/>
          <w:szCs w:val="19"/>
        </w:rPr>
      </w:pPr>
      <w:r w:rsidRPr="00144D9E">
        <w:rPr>
          <w:rFonts w:ascii="Times New Roman" w:hAnsi="Times New Roman"/>
          <w:sz w:val="19"/>
          <w:szCs w:val="19"/>
        </w:rPr>
        <w:t xml:space="preserve">   </w:t>
      </w:r>
      <w:r w:rsidR="00D77FB6" w:rsidRPr="00144D9E">
        <w:rPr>
          <w:rFonts w:ascii="Times New Roman" w:hAnsi="Times New Roman"/>
          <w:sz w:val="19"/>
          <w:szCs w:val="19"/>
        </w:rPr>
        <w:t xml:space="preserve">до договору </w:t>
      </w:r>
      <w:r w:rsidR="00EB607C" w:rsidRPr="00144D9E">
        <w:rPr>
          <w:rFonts w:ascii="Times New Roman" w:hAnsi="Times New Roman"/>
          <w:sz w:val="19"/>
          <w:szCs w:val="19"/>
        </w:rPr>
        <w:t>електропостачальника</w:t>
      </w:r>
      <w:r w:rsidR="00D77FB6" w:rsidRPr="00144D9E">
        <w:rPr>
          <w:rFonts w:ascii="Times New Roman" w:hAnsi="Times New Roman"/>
          <w:sz w:val="19"/>
          <w:szCs w:val="19"/>
        </w:rPr>
        <w:t xml:space="preserve"> про наданн</w:t>
      </w:r>
      <w:r w:rsidR="00EB607C" w:rsidRPr="00144D9E">
        <w:rPr>
          <w:rFonts w:ascii="Times New Roman" w:hAnsi="Times New Roman"/>
          <w:sz w:val="19"/>
          <w:szCs w:val="19"/>
        </w:rPr>
        <w:t xml:space="preserve">я </w:t>
      </w:r>
    </w:p>
    <w:p w14:paraId="0B84D3AC" w14:textId="462F11F2" w:rsidR="00746FA9" w:rsidRPr="00144D9E" w:rsidRDefault="000866DE" w:rsidP="00AF27FA">
      <w:pPr>
        <w:spacing w:after="0" w:line="240" w:lineRule="auto"/>
        <w:ind w:left="5954"/>
        <w:rPr>
          <w:rFonts w:ascii="Times New Roman" w:hAnsi="Times New Roman"/>
          <w:sz w:val="19"/>
          <w:szCs w:val="19"/>
        </w:rPr>
      </w:pPr>
      <w:r w:rsidRPr="00144D9E">
        <w:rPr>
          <w:rFonts w:ascii="Times New Roman" w:hAnsi="Times New Roman"/>
          <w:sz w:val="19"/>
          <w:szCs w:val="19"/>
        </w:rPr>
        <w:t xml:space="preserve">   </w:t>
      </w:r>
      <w:r w:rsidR="00EB607C" w:rsidRPr="00144D9E">
        <w:rPr>
          <w:rFonts w:ascii="Times New Roman" w:hAnsi="Times New Roman"/>
          <w:sz w:val="19"/>
          <w:szCs w:val="19"/>
        </w:rPr>
        <w:t xml:space="preserve">послуг з розподілу </w:t>
      </w:r>
      <w:r w:rsidR="00D77FB6" w:rsidRPr="00144D9E">
        <w:rPr>
          <w:rFonts w:ascii="Times New Roman" w:hAnsi="Times New Roman"/>
          <w:sz w:val="19"/>
          <w:szCs w:val="19"/>
        </w:rPr>
        <w:t>електричної енергії</w:t>
      </w:r>
    </w:p>
    <w:p w14:paraId="01B92E74" w14:textId="14072745" w:rsidR="00D77FB6" w:rsidRPr="00144D9E" w:rsidRDefault="000866DE" w:rsidP="00AF27FA">
      <w:pPr>
        <w:spacing w:after="0" w:line="240" w:lineRule="auto"/>
        <w:ind w:left="5954"/>
        <w:rPr>
          <w:rFonts w:ascii="Times New Roman" w:hAnsi="Times New Roman"/>
          <w:sz w:val="19"/>
          <w:szCs w:val="19"/>
        </w:rPr>
      </w:pPr>
      <w:r w:rsidRPr="00144D9E">
        <w:rPr>
          <w:rFonts w:ascii="Times New Roman" w:hAnsi="Times New Roman"/>
          <w:sz w:val="19"/>
          <w:szCs w:val="19"/>
        </w:rPr>
        <w:t xml:space="preserve">   </w:t>
      </w:r>
      <w:r w:rsidR="00A07A7A" w:rsidRPr="00144D9E">
        <w:rPr>
          <w:rFonts w:ascii="Times New Roman" w:hAnsi="Times New Roman"/>
          <w:sz w:val="19"/>
          <w:szCs w:val="19"/>
        </w:rPr>
        <w:t xml:space="preserve">№ </w:t>
      </w:r>
      <w:r w:rsidR="00132760" w:rsidRPr="00144D9E">
        <w:rPr>
          <w:rFonts w:ascii="Times New Roman" w:hAnsi="Times New Roman"/>
          <w:sz w:val="19"/>
          <w:szCs w:val="19"/>
        </w:rPr>
        <w:t>____</w:t>
      </w:r>
      <w:r w:rsidRPr="00144D9E">
        <w:rPr>
          <w:rFonts w:ascii="Times New Roman" w:hAnsi="Times New Roman"/>
          <w:sz w:val="19"/>
          <w:szCs w:val="19"/>
        </w:rPr>
        <w:t>_</w:t>
      </w:r>
      <w:r w:rsidR="00373325" w:rsidRPr="00144D9E">
        <w:rPr>
          <w:rFonts w:ascii="Times New Roman" w:hAnsi="Times New Roman"/>
          <w:sz w:val="19"/>
          <w:szCs w:val="19"/>
        </w:rPr>
        <w:t xml:space="preserve"> від «</w:t>
      </w:r>
      <w:r w:rsidR="00132760" w:rsidRPr="00144D9E">
        <w:rPr>
          <w:rFonts w:ascii="Times New Roman" w:hAnsi="Times New Roman"/>
          <w:sz w:val="19"/>
          <w:szCs w:val="19"/>
        </w:rPr>
        <w:t>___</w:t>
      </w:r>
      <w:r w:rsidR="007958D9" w:rsidRPr="00144D9E">
        <w:rPr>
          <w:rFonts w:ascii="Times New Roman" w:hAnsi="Times New Roman"/>
          <w:sz w:val="19"/>
          <w:szCs w:val="19"/>
        </w:rPr>
        <w:t xml:space="preserve">» </w:t>
      </w:r>
      <w:r w:rsidR="00132760" w:rsidRPr="00144D9E">
        <w:rPr>
          <w:rFonts w:ascii="Times New Roman" w:hAnsi="Times New Roman"/>
          <w:sz w:val="19"/>
          <w:szCs w:val="19"/>
        </w:rPr>
        <w:t>______________</w:t>
      </w:r>
      <w:r w:rsidR="00296AFF" w:rsidRPr="00144D9E">
        <w:rPr>
          <w:rFonts w:ascii="Times New Roman" w:hAnsi="Times New Roman"/>
          <w:sz w:val="19"/>
          <w:szCs w:val="19"/>
        </w:rPr>
        <w:t xml:space="preserve"> 202_</w:t>
      </w:r>
      <w:r w:rsidR="00746FA9" w:rsidRPr="00144D9E">
        <w:rPr>
          <w:rFonts w:ascii="Times New Roman" w:hAnsi="Times New Roman"/>
          <w:sz w:val="19"/>
          <w:szCs w:val="19"/>
        </w:rPr>
        <w:t xml:space="preserve"> року</w:t>
      </w:r>
      <w:r w:rsidR="00D77FB6" w:rsidRPr="00144D9E">
        <w:rPr>
          <w:rFonts w:ascii="Times New Roman" w:hAnsi="Times New Roman"/>
          <w:b/>
          <w:sz w:val="19"/>
          <w:szCs w:val="19"/>
        </w:rPr>
        <w:t xml:space="preserve"> </w:t>
      </w:r>
    </w:p>
    <w:p w14:paraId="3837B7C3" w14:textId="77777777" w:rsidR="00D77FB6" w:rsidRPr="00144D9E" w:rsidRDefault="00D77FB6" w:rsidP="00C93F10">
      <w:pPr>
        <w:spacing w:after="0" w:line="240" w:lineRule="auto"/>
        <w:rPr>
          <w:rFonts w:ascii="Times New Roman" w:hAnsi="Times New Roman"/>
          <w:b/>
        </w:rPr>
      </w:pPr>
    </w:p>
    <w:p w14:paraId="04F58BE9" w14:textId="6426D840" w:rsidR="00746FA9" w:rsidRPr="00AB1422" w:rsidRDefault="00D77FB6" w:rsidP="00C93F10">
      <w:pPr>
        <w:spacing w:after="0" w:line="240" w:lineRule="auto"/>
        <w:jc w:val="center"/>
        <w:rPr>
          <w:rFonts w:ascii="Times New Roman" w:hAnsi="Times New Roman"/>
          <w:b/>
        </w:rPr>
      </w:pPr>
      <w:r w:rsidRPr="00AB1422">
        <w:rPr>
          <w:rFonts w:ascii="Times New Roman" w:hAnsi="Times New Roman"/>
          <w:b/>
        </w:rPr>
        <w:t>Порядок розрахунків</w:t>
      </w:r>
    </w:p>
    <w:p w14:paraId="5B051840" w14:textId="2F7D436A" w:rsidR="00D77FB6" w:rsidRPr="00AB1422" w:rsidRDefault="00D77FB6" w:rsidP="00C93F10">
      <w:pPr>
        <w:pStyle w:val="a3"/>
        <w:numPr>
          <w:ilvl w:val="0"/>
          <w:numId w:val="3"/>
        </w:numPr>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Визначення погодинних, добових та місячних обсягів купівлі Постачальником електричної енергії на Оптовому ринку України Сторонами здійснюється згідно «Тимчасового порядку визначення обсягів купівлі електричної енергії на оптовому ринку електричної енергії постачальниками та операторами системи розподілу на перехідний період до дати початку дії нового ринку електричної енергії».</w:t>
      </w:r>
    </w:p>
    <w:p w14:paraId="56FE19D2" w14:textId="1CA81EF1" w:rsidR="00603540" w:rsidRPr="00AB1422" w:rsidRDefault="00603540" w:rsidP="00603540">
      <w:pPr>
        <w:pStyle w:val="a3"/>
        <w:numPr>
          <w:ilvl w:val="0"/>
          <w:numId w:val="3"/>
        </w:numPr>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 xml:space="preserve">Постачальник до 16:00 24 числа місяця, що передує розрахунковому періоду, надає Оператору системи </w:t>
      </w:r>
      <w:r w:rsidR="004E01E7" w:rsidRPr="00AB1422">
        <w:rPr>
          <w:rFonts w:ascii="Times New Roman" w:hAnsi="Times New Roman"/>
        </w:rPr>
        <w:t xml:space="preserve">(далі – ОСР) </w:t>
      </w:r>
      <w:r w:rsidRPr="00AB1422">
        <w:rPr>
          <w:rFonts w:ascii="Times New Roman" w:hAnsi="Times New Roman"/>
        </w:rPr>
        <w:t>Реєстр споживачів Постачальника, яким розподіляється електрична енергія мережами О</w:t>
      </w:r>
      <w:r w:rsidR="004E01E7" w:rsidRPr="00AB1422">
        <w:rPr>
          <w:rFonts w:ascii="Times New Roman" w:hAnsi="Times New Roman"/>
        </w:rPr>
        <w:t>СР</w:t>
      </w:r>
      <w:r w:rsidRPr="00AB1422">
        <w:rPr>
          <w:rFonts w:ascii="Times New Roman" w:hAnsi="Times New Roman"/>
        </w:rPr>
        <w:t xml:space="preserve"> (далі – Реєстр), із зазначенням обсягів постачання електричної енергії на розрахунковий період за формою додатка 3 до Договору.</w:t>
      </w:r>
    </w:p>
    <w:p w14:paraId="56E4A306" w14:textId="130D5F4F" w:rsidR="00603540" w:rsidRPr="00AB1422" w:rsidRDefault="00603540" w:rsidP="00603540">
      <w:pPr>
        <w:pStyle w:val="a3"/>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 xml:space="preserve"> Нові споживачі, яким буде здійснюватися розподіл електричної енергії в розрахунковому періоді, повинні бути включені в цей Реєстр лише після проведення процедури зміни електропостачальника за ініціативою споживача, яка передбачена ПРРЕЕ.</w:t>
      </w:r>
    </w:p>
    <w:p w14:paraId="4BD2463C" w14:textId="4D77C90C" w:rsidR="00D77FB6" w:rsidRPr="00AB1422" w:rsidRDefault="00D77FB6" w:rsidP="00C93F10">
      <w:pPr>
        <w:pStyle w:val="a3"/>
        <w:numPr>
          <w:ilvl w:val="0"/>
          <w:numId w:val="3"/>
        </w:numPr>
        <w:tabs>
          <w:tab w:val="left" w:pos="567"/>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 xml:space="preserve">На основі наданого Постачальником </w:t>
      </w:r>
      <w:r w:rsidR="0050060E" w:rsidRPr="00AB1422">
        <w:rPr>
          <w:rFonts w:ascii="Times New Roman" w:hAnsi="Times New Roman"/>
        </w:rPr>
        <w:t>Реєстру</w:t>
      </w:r>
      <w:r w:rsidR="0082577B" w:rsidRPr="00AB1422">
        <w:rPr>
          <w:rFonts w:ascii="Times New Roman" w:hAnsi="Times New Roman"/>
        </w:rPr>
        <w:t xml:space="preserve">, </w:t>
      </w:r>
      <w:r w:rsidRPr="00AB1422">
        <w:rPr>
          <w:rFonts w:ascii="Times New Roman" w:hAnsi="Times New Roman"/>
        </w:rPr>
        <w:t>ОСР, не пізніше</w:t>
      </w:r>
      <w:r w:rsidR="0050060E" w:rsidRPr="00AB1422">
        <w:rPr>
          <w:rFonts w:ascii="Times New Roman" w:hAnsi="Times New Roman"/>
        </w:rPr>
        <w:t xml:space="preserve"> наступного робочого дня</w:t>
      </w:r>
      <w:r w:rsidRPr="00AB1422">
        <w:rPr>
          <w:rFonts w:ascii="Times New Roman" w:hAnsi="Times New Roman"/>
        </w:rPr>
        <w:t>, надає рахунок</w:t>
      </w:r>
      <w:r w:rsidR="004E01E7" w:rsidRPr="00AB1422">
        <w:rPr>
          <w:rFonts w:ascii="Times New Roman" w:hAnsi="Times New Roman"/>
        </w:rPr>
        <w:t xml:space="preserve"> </w:t>
      </w:r>
      <w:r w:rsidRPr="00AB1422">
        <w:rPr>
          <w:rFonts w:ascii="Times New Roman" w:hAnsi="Times New Roman"/>
        </w:rPr>
        <w:t>на послуги з розподілу електричної енергії.</w:t>
      </w:r>
    </w:p>
    <w:p w14:paraId="2E04E410" w14:textId="611EC46E" w:rsidR="00D77FB6" w:rsidRPr="00AB1422" w:rsidRDefault="00D77FB6" w:rsidP="00C93F10">
      <w:pPr>
        <w:tabs>
          <w:tab w:val="left" w:pos="851"/>
        </w:tabs>
        <w:spacing w:after="0" w:line="240" w:lineRule="auto"/>
        <w:ind w:firstLine="567"/>
        <w:jc w:val="both"/>
        <w:rPr>
          <w:rFonts w:ascii="Times New Roman" w:hAnsi="Times New Roman"/>
        </w:rPr>
      </w:pPr>
      <w:r w:rsidRPr="00AB1422">
        <w:rPr>
          <w:rFonts w:ascii="Times New Roman" w:hAnsi="Times New Roman"/>
        </w:rPr>
        <w:t>На вартість послуг з розподілу електроенергії нараховується податок на додану вартість відповідно до законодавства України.</w:t>
      </w:r>
    </w:p>
    <w:p w14:paraId="0CAE09EA" w14:textId="2AE50FBA" w:rsidR="004F7191" w:rsidRPr="00AB1422" w:rsidRDefault="00EB607C" w:rsidP="00C93F10">
      <w:pPr>
        <w:pStyle w:val="a3"/>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Оплата послуг з розподілу</w:t>
      </w:r>
      <w:r w:rsidR="00D77FB6" w:rsidRPr="00AB1422">
        <w:rPr>
          <w:rFonts w:ascii="Times New Roman" w:hAnsi="Times New Roman"/>
        </w:rPr>
        <w:t xml:space="preserve"> електроенергії здійснюється Постачальником окремим платіжним дорученням на підставі виставлен</w:t>
      </w:r>
      <w:r w:rsidR="0050060E" w:rsidRPr="00AB1422">
        <w:rPr>
          <w:rFonts w:ascii="Times New Roman" w:hAnsi="Times New Roman"/>
        </w:rPr>
        <w:t>ого</w:t>
      </w:r>
      <w:r w:rsidR="00D77FB6" w:rsidRPr="00AB1422">
        <w:rPr>
          <w:rFonts w:ascii="Times New Roman" w:hAnsi="Times New Roman"/>
        </w:rPr>
        <w:t xml:space="preserve"> ОСР рахунк</w:t>
      </w:r>
      <w:r w:rsidR="0050060E" w:rsidRPr="00AB1422">
        <w:rPr>
          <w:rFonts w:ascii="Times New Roman" w:hAnsi="Times New Roman"/>
        </w:rPr>
        <w:t>у</w:t>
      </w:r>
      <w:r w:rsidR="00D77FB6" w:rsidRPr="00AB1422">
        <w:rPr>
          <w:rFonts w:ascii="Times New Roman" w:hAnsi="Times New Roman"/>
        </w:rPr>
        <w:t xml:space="preserve"> не пізніше</w:t>
      </w:r>
      <w:r w:rsidR="00A75F0D" w:rsidRPr="00AB1422">
        <w:rPr>
          <w:rFonts w:ascii="Times New Roman" w:hAnsi="Times New Roman"/>
        </w:rPr>
        <w:t>,</w:t>
      </w:r>
      <w:r w:rsidR="00D77FB6" w:rsidRPr="00AB1422">
        <w:rPr>
          <w:rFonts w:ascii="Times New Roman" w:hAnsi="Times New Roman"/>
        </w:rPr>
        <w:t xml:space="preserve"> </w:t>
      </w:r>
      <w:r w:rsidR="0050060E" w:rsidRPr="00AB1422">
        <w:rPr>
          <w:rFonts w:ascii="Times New Roman" w:hAnsi="Times New Roman"/>
        </w:rPr>
        <w:t xml:space="preserve">останнього </w:t>
      </w:r>
      <w:r w:rsidR="00ED3213" w:rsidRPr="00AB1422">
        <w:rPr>
          <w:rFonts w:ascii="Times New Roman" w:hAnsi="Times New Roman"/>
        </w:rPr>
        <w:t>робочого дня місяця</w:t>
      </w:r>
      <w:r w:rsidR="00A75F0D" w:rsidRPr="00AB1422">
        <w:rPr>
          <w:rFonts w:ascii="Times New Roman" w:hAnsi="Times New Roman"/>
        </w:rPr>
        <w:t>, що передує розрахунковому</w:t>
      </w:r>
      <w:r w:rsidR="00D77FB6" w:rsidRPr="00AB1422">
        <w:rPr>
          <w:rFonts w:ascii="Times New Roman" w:hAnsi="Times New Roman"/>
        </w:rPr>
        <w:t>, в обсязі не нижче 100 % вартості вказаних послуг на розрахунковий місяць.</w:t>
      </w:r>
    </w:p>
    <w:p w14:paraId="4E47748D" w14:textId="3CECD2BE" w:rsidR="005D0658" w:rsidRPr="00AB1422" w:rsidRDefault="00C93F10" w:rsidP="00C93F10">
      <w:pPr>
        <w:pStyle w:val="a3"/>
        <w:numPr>
          <w:ilvl w:val="0"/>
          <w:numId w:val="3"/>
        </w:numPr>
        <w:tabs>
          <w:tab w:val="left" w:pos="851"/>
        </w:tabs>
        <w:spacing w:after="0" w:line="240" w:lineRule="auto"/>
        <w:ind w:left="0" w:firstLine="567"/>
        <w:jc w:val="both"/>
        <w:rPr>
          <w:rFonts w:ascii="Times New Roman" w:hAnsi="Times New Roman"/>
        </w:rPr>
      </w:pPr>
      <w:r w:rsidRPr="00AB1422">
        <w:rPr>
          <w:rFonts w:ascii="Times New Roman" w:hAnsi="Times New Roman"/>
        </w:rPr>
        <w:t>У разі необхідності, Постачальник</w:t>
      </w:r>
      <w:r w:rsidR="0082577B" w:rsidRPr="00AB1422">
        <w:rPr>
          <w:rFonts w:ascii="Times New Roman" w:hAnsi="Times New Roman"/>
        </w:rPr>
        <w:t>,</w:t>
      </w:r>
      <w:r w:rsidRPr="00AB1422">
        <w:rPr>
          <w:rFonts w:ascii="Times New Roman" w:hAnsi="Times New Roman"/>
        </w:rPr>
        <w:t xml:space="preserve"> </w:t>
      </w:r>
      <w:r w:rsidR="0082577B" w:rsidRPr="00AB1422">
        <w:rPr>
          <w:rFonts w:ascii="Times New Roman" w:hAnsi="Times New Roman"/>
        </w:rPr>
        <w:t xml:space="preserve">до 15-го числа розрахункового місяця включно, </w:t>
      </w:r>
      <w:r w:rsidRPr="00AB1422">
        <w:rPr>
          <w:rFonts w:ascii="Times New Roman" w:hAnsi="Times New Roman"/>
        </w:rPr>
        <w:t xml:space="preserve">може скоригувати заявлені обсяги купівлі електроенергії на розрахунковий період шляхом надання </w:t>
      </w:r>
      <w:r w:rsidR="005D0658" w:rsidRPr="00AB1422">
        <w:rPr>
          <w:rFonts w:ascii="Times New Roman" w:hAnsi="Times New Roman"/>
        </w:rPr>
        <w:t xml:space="preserve">додаткового Реєстру </w:t>
      </w:r>
      <w:r w:rsidRPr="00AB1422">
        <w:rPr>
          <w:rFonts w:ascii="Times New Roman" w:hAnsi="Times New Roman"/>
        </w:rPr>
        <w:t xml:space="preserve">ОСР. </w:t>
      </w:r>
    </w:p>
    <w:p w14:paraId="0BBF1028" w14:textId="37FBB47A" w:rsidR="00C93F10" w:rsidRPr="00AB1422" w:rsidRDefault="00C93F10" w:rsidP="005D0658">
      <w:pPr>
        <w:pStyle w:val="a3"/>
        <w:tabs>
          <w:tab w:val="left" w:pos="851"/>
        </w:tabs>
        <w:spacing w:after="0" w:line="240" w:lineRule="auto"/>
        <w:ind w:left="0" w:firstLine="567"/>
        <w:jc w:val="both"/>
        <w:rPr>
          <w:rFonts w:ascii="Times New Roman" w:hAnsi="Times New Roman"/>
        </w:rPr>
      </w:pPr>
      <w:r w:rsidRPr="00AB1422">
        <w:rPr>
          <w:rFonts w:ascii="Times New Roman" w:hAnsi="Times New Roman"/>
        </w:rPr>
        <w:t>Оплата за послуги з розподілу електричної енергії додатково заявлених обсягів електричної енергії здійснюється постачальником до 15-го числа розрахункового місяця включно.</w:t>
      </w:r>
    </w:p>
    <w:p w14:paraId="3BDB8036" w14:textId="00DC4533" w:rsidR="00D77FB6" w:rsidRPr="00AB1422" w:rsidRDefault="00D77FB6" w:rsidP="00C93F10">
      <w:pPr>
        <w:pStyle w:val="a3"/>
        <w:numPr>
          <w:ilvl w:val="0"/>
          <w:numId w:val="3"/>
        </w:numPr>
        <w:tabs>
          <w:tab w:val="left" w:pos="710"/>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У разі зміни тарифу на послуги з розподілу електроенергії нормативно-правовим актом НКРЕКП, ОСР має право здійснити перерахунок вартості послуг з розподілу електричної енергії та виставити</w:t>
      </w:r>
      <w:r w:rsidR="00EE358A" w:rsidRPr="00AB1422">
        <w:rPr>
          <w:rFonts w:ascii="Times New Roman" w:hAnsi="Times New Roman"/>
        </w:rPr>
        <w:t xml:space="preserve"> </w:t>
      </w:r>
      <w:r w:rsidRPr="00AB1422">
        <w:rPr>
          <w:rFonts w:ascii="Times New Roman" w:hAnsi="Times New Roman"/>
        </w:rPr>
        <w:t xml:space="preserve">додатковий рахунок. </w:t>
      </w:r>
    </w:p>
    <w:p w14:paraId="6ED25B80" w14:textId="02D8D049" w:rsidR="004F7191" w:rsidRPr="00AB1422" w:rsidRDefault="00D77FB6" w:rsidP="00C93F10">
      <w:pPr>
        <w:tabs>
          <w:tab w:val="left" w:pos="851"/>
        </w:tabs>
        <w:spacing w:after="0" w:line="240" w:lineRule="auto"/>
        <w:ind w:firstLine="567"/>
        <w:jc w:val="both"/>
        <w:rPr>
          <w:rFonts w:ascii="Times New Roman" w:hAnsi="Times New Roman"/>
        </w:rPr>
      </w:pPr>
      <w:r w:rsidRPr="00AB1422">
        <w:rPr>
          <w:rFonts w:ascii="Times New Roman" w:hAnsi="Times New Roman"/>
        </w:rPr>
        <w:t>Додатковий рахунок</w:t>
      </w:r>
      <w:r w:rsidR="004E01E7" w:rsidRPr="00AB1422">
        <w:rPr>
          <w:rFonts w:ascii="Times New Roman" w:hAnsi="Times New Roman"/>
        </w:rPr>
        <w:t xml:space="preserve"> </w:t>
      </w:r>
      <w:r w:rsidRPr="00AB1422">
        <w:rPr>
          <w:rFonts w:ascii="Times New Roman" w:hAnsi="Times New Roman"/>
        </w:rPr>
        <w:t>має бути сплачений Постачальником в 5-денний термін з моменту отримання рахунку</w:t>
      </w:r>
      <w:r w:rsidR="004E01E7" w:rsidRPr="00AB1422">
        <w:rPr>
          <w:rFonts w:ascii="Times New Roman" w:hAnsi="Times New Roman"/>
        </w:rPr>
        <w:t xml:space="preserve"> </w:t>
      </w:r>
      <w:r w:rsidR="000A19AC" w:rsidRPr="00AB1422">
        <w:rPr>
          <w:rFonts w:ascii="Times New Roman" w:hAnsi="Times New Roman"/>
        </w:rPr>
        <w:t xml:space="preserve">від </w:t>
      </w:r>
      <w:r w:rsidRPr="00AB1422">
        <w:rPr>
          <w:rFonts w:ascii="Times New Roman" w:hAnsi="Times New Roman"/>
        </w:rPr>
        <w:t>ОСР.</w:t>
      </w:r>
    </w:p>
    <w:p w14:paraId="170D2D12" w14:textId="1109EDC3" w:rsidR="00D77FB6" w:rsidRPr="00AB1422" w:rsidRDefault="00D77FB6" w:rsidP="00C93F10">
      <w:pPr>
        <w:pStyle w:val="a3"/>
        <w:numPr>
          <w:ilvl w:val="0"/>
          <w:numId w:val="3"/>
        </w:numPr>
        <w:tabs>
          <w:tab w:val="left" w:pos="710"/>
          <w:tab w:val="left" w:pos="851"/>
        </w:tabs>
        <w:spacing w:after="0" w:line="240" w:lineRule="auto"/>
        <w:ind w:left="0" w:firstLine="567"/>
        <w:jc w:val="both"/>
        <w:rPr>
          <w:rFonts w:ascii="Times New Roman" w:hAnsi="Times New Roman"/>
        </w:rPr>
      </w:pPr>
      <w:r w:rsidRPr="00AB1422">
        <w:rPr>
          <w:rFonts w:ascii="Times New Roman" w:hAnsi="Times New Roman"/>
        </w:rPr>
        <w:t>За підсумк</w:t>
      </w:r>
      <w:r w:rsidR="00C93F10" w:rsidRPr="00AB1422">
        <w:rPr>
          <w:rFonts w:ascii="Times New Roman" w:hAnsi="Times New Roman"/>
        </w:rPr>
        <w:t xml:space="preserve">ами розрахункового періоду до </w:t>
      </w:r>
      <w:r w:rsidR="00603540" w:rsidRPr="00AB1422">
        <w:rPr>
          <w:rFonts w:ascii="Times New Roman" w:hAnsi="Times New Roman"/>
        </w:rPr>
        <w:t>16</w:t>
      </w:r>
      <w:r w:rsidR="00C93F10" w:rsidRPr="00AB1422">
        <w:rPr>
          <w:rFonts w:ascii="Times New Roman" w:hAnsi="Times New Roman"/>
        </w:rPr>
        <w:t xml:space="preserve">:00 </w:t>
      </w:r>
      <w:r w:rsidR="00603540" w:rsidRPr="00AB1422">
        <w:rPr>
          <w:rFonts w:ascii="Times New Roman" w:hAnsi="Times New Roman"/>
        </w:rPr>
        <w:t>7</w:t>
      </w:r>
      <w:r w:rsidRPr="00AB1422">
        <w:rPr>
          <w:rFonts w:ascii="Times New Roman" w:hAnsi="Times New Roman"/>
        </w:rPr>
        <w:t xml:space="preserve">-го числа місяця, що є наступним за розрахунковим місяцем, ОСР надає, а Постачальник узгоджує фактичні обсяги купівлі електричної енергії, сумарно та в розрізі споживачів. </w:t>
      </w:r>
    </w:p>
    <w:p w14:paraId="6F86D0D8" w14:textId="0706D251" w:rsidR="00D77FB6" w:rsidRPr="00AB1422" w:rsidRDefault="00D77FB6" w:rsidP="00C93F10">
      <w:pPr>
        <w:pStyle w:val="a3"/>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ОСР складає та надає на погодження Пост</w:t>
      </w:r>
      <w:r w:rsidR="00C93F10" w:rsidRPr="00AB1422">
        <w:rPr>
          <w:rFonts w:ascii="Times New Roman" w:hAnsi="Times New Roman"/>
        </w:rPr>
        <w:t xml:space="preserve">ачальнику </w:t>
      </w:r>
      <w:bookmarkStart w:id="0" w:name="_Hlk127451485"/>
      <w:r w:rsidR="00BE7076" w:rsidRPr="00AB1422">
        <w:rPr>
          <w:rFonts w:ascii="Times New Roman" w:hAnsi="Times New Roman"/>
        </w:rPr>
        <w:t>«</w:t>
      </w:r>
      <w:bookmarkStart w:id="1" w:name="_Hlk127452236"/>
      <w:bookmarkStart w:id="2" w:name="_Hlk127451683"/>
      <w:r w:rsidR="00C93F10" w:rsidRPr="00AB1422">
        <w:rPr>
          <w:rFonts w:ascii="Times New Roman" w:hAnsi="Times New Roman"/>
        </w:rPr>
        <w:t xml:space="preserve">Акт </w:t>
      </w:r>
      <w:r w:rsidR="008664DE" w:rsidRPr="00AB1422">
        <w:rPr>
          <w:rFonts w:ascii="Times New Roman" w:hAnsi="Times New Roman"/>
        </w:rPr>
        <w:t xml:space="preserve">прийняття – </w:t>
      </w:r>
      <w:r w:rsidR="00BE7076" w:rsidRPr="00AB1422">
        <w:rPr>
          <w:rFonts w:ascii="Times New Roman" w:hAnsi="Times New Roman"/>
        </w:rPr>
        <w:t>здачі</w:t>
      </w:r>
      <w:r w:rsidR="008664DE" w:rsidRPr="00AB1422">
        <w:rPr>
          <w:rFonts w:ascii="Times New Roman" w:hAnsi="Times New Roman"/>
        </w:rPr>
        <w:t xml:space="preserve"> </w:t>
      </w:r>
      <w:r w:rsidR="00C93F10" w:rsidRPr="00AB1422">
        <w:rPr>
          <w:rFonts w:ascii="Times New Roman" w:hAnsi="Times New Roman"/>
        </w:rPr>
        <w:t>надан</w:t>
      </w:r>
      <w:r w:rsidR="00BE7076" w:rsidRPr="00AB1422">
        <w:rPr>
          <w:rFonts w:ascii="Times New Roman" w:hAnsi="Times New Roman"/>
        </w:rPr>
        <w:t>их</w:t>
      </w:r>
      <w:r w:rsidR="00C93F10" w:rsidRPr="00AB1422">
        <w:rPr>
          <w:rFonts w:ascii="Times New Roman" w:hAnsi="Times New Roman"/>
        </w:rPr>
        <w:t xml:space="preserve"> </w:t>
      </w:r>
      <w:r w:rsidRPr="00AB1422">
        <w:rPr>
          <w:rFonts w:ascii="Times New Roman" w:hAnsi="Times New Roman"/>
        </w:rPr>
        <w:t>послуг</w:t>
      </w:r>
      <w:r w:rsidR="008664DE" w:rsidRPr="00AB1422">
        <w:rPr>
          <w:rFonts w:ascii="Times New Roman" w:hAnsi="Times New Roman"/>
        </w:rPr>
        <w:t xml:space="preserve"> з розподілу електро</w:t>
      </w:r>
      <w:r w:rsidR="00C93F10" w:rsidRPr="00AB1422">
        <w:rPr>
          <w:rFonts w:ascii="Times New Roman" w:hAnsi="Times New Roman"/>
        </w:rPr>
        <w:t>енергії</w:t>
      </w:r>
      <w:bookmarkEnd w:id="0"/>
      <w:bookmarkEnd w:id="1"/>
      <w:r w:rsidR="00BE7076" w:rsidRPr="00AB1422">
        <w:rPr>
          <w:rFonts w:ascii="Times New Roman" w:hAnsi="Times New Roman"/>
        </w:rPr>
        <w:t>»</w:t>
      </w:r>
      <w:bookmarkEnd w:id="2"/>
      <w:r w:rsidRPr="00AB1422">
        <w:rPr>
          <w:rFonts w:ascii="Times New Roman" w:hAnsi="Times New Roman"/>
        </w:rPr>
        <w:t>.</w:t>
      </w:r>
    </w:p>
    <w:p w14:paraId="4C05959A" w14:textId="21DE4E5C" w:rsidR="00BE7076" w:rsidRPr="00AB1422" w:rsidRDefault="00BE7076" w:rsidP="00C93F10">
      <w:pPr>
        <w:pStyle w:val="a3"/>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«Акт прийняття – здачі наданих послуг з розподілу електроенергії» за розрахунковий період підписується Постачальником та повертається О</w:t>
      </w:r>
      <w:r w:rsidR="000866DE" w:rsidRPr="00AB1422">
        <w:rPr>
          <w:rFonts w:ascii="Times New Roman" w:hAnsi="Times New Roman"/>
        </w:rPr>
        <w:t>СР</w:t>
      </w:r>
      <w:r w:rsidRPr="00AB1422">
        <w:rPr>
          <w:rFonts w:ascii="Times New Roman" w:hAnsi="Times New Roman"/>
        </w:rPr>
        <w:t xml:space="preserve"> протягом трьох робочих днів від дня його отримання.</w:t>
      </w:r>
    </w:p>
    <w:p w14:paraId="62FB3A5A" w14:textId="430BF348" w:rsidR="00BE7076" w:rsidRPr="00AB1422" w:rsidRDefault="00BE7076" w:rsidP="00C93F10">
      <w:pPr>
        <w:pStyle w:val="a3"/>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Сторони погодили, що у випадку не підписання «</w:t>
      </w:r>
      <w:r w:rsidR="00B72527" w:rsidRPr="00AB1422">
        <w:rPr>
          <w:rFonts w:ascii="Times New Roman" w:hAnsi="Times New Roman"/>
        </w:rPr>
        <w:t>Акту прийняття – здачі наданих послуг з розподілу електроенергії</w:t>
      </w:r>
      <w:r w:rsidRPr="00AB1422">
        <w:rPr>
          <w:rFonts w:ascii="Times New Roman" w:hAnsi="Times New Roman"/>
        </w:rPr>
        <w:t xml:space="preserve">» з боку </w:t>
      </w:r>
      <w:r w:rsidR="00B72527" w:rsidRPr="00AB1422">
        <w:rPr>
          <w:rFonts w:ascii="Times New Roman" w:hAnsi="Times New Roman"/>
        </w:rPr>
        <w:t>Постачальника</w:t>
      </w:r>
      <w:r w:rsidRPr="00AB1422">
        <w:rPr>
          <w:rFonts w:ascii="Times New Roman" w:hAnsi="Times New Roman"/>
        </w:rPr>
        <w:t xml:space="preserve"> у </w:t>
      </w:r>
      <w:r w:rsidR="00B72527" w:rsidRPr="00AB1422">
        <w:rPr>
          <w:rFonts w:ascii="Times New Roman" w:hAnsi="Times New Roman"/>
        </w:rPr>
        <w:t xml:space="preserve">зазначений </w:t>
      </w:r>
      <w:r w:rsidRPr="00AB1422">
        <w:rPr>
          <w:rFonts w:ascii="Times New Roman" w:hAnsi="Times New Roman"/>
        </w:rPr>
        <w:t>термін, підписаний з боку О</w:t>
      </w:r>
      <w:r w:rsidR="000866DE" w:rsidRPr="00AB1422">
        <w:rPr>
          <w:rFonts w:ascii="Times New Roman" w:hAnsi="Times New Roman"/>
        </w:rPr>
        <w:t>СР</w:t>
      </w:r>
      <w:r w:rsidRPr="00AB1422">
        <w:rPr>
          <w:rFonts w:ascii="Times New Roman" w:hAnsi="Times New Roman"/>
        </w:rPr>
        <w:t xml:space="preserve"> «</w:t>
      </w:r>
      <w:r w:rsidR="00B72527" w:rsidRPr="00AB1422">
        <w:rPr>
          <w:rFonts w:ascii="Times New Roman" w:hAnsi="Times New Roman"/>
        </w:rPr>
        <w:t>Акт прийняття – здачі наданих послуг з розподілу електроенергії</w:t>
      </w:r>
      <w:r w:rsidRPr="00AB1422">
        <w:rPr>
          <w:rFonts w:ascii="Times New Roman" w:hAnsi="Times New Roman"/>
        </w:rPr>
        <w:t xml:space="preserve">» вважається погодженим  та прийнятим </w:t>
      </w:r>
      <w:r w:rsidR="00B72527" w:rsidRPr="00AB1422">
        <w:rPr>
          <w:rFonts w:ascii="Times New Roman" w:hAnsi="Times New Roman"/>
        </w:rPr>
        <w:t>Постачальником</w:t>
      </w:r>
      <w:r w:rsidRPr="00AB1422">
        <w:rPr>
          <w:rFonts w:ascii="Times New Roman" w:hAnsi="Times New Roman"/>
        </w:rPr>
        <w:t xml:space="preserve"> і є підставою для здійснення розрахунків між Сторонами за цим Договором.</w:t>
      </w:r>
    </w:p>
    <w:p w14:paraId="2206EF59" w14:textId="258670A5" w:rsidR="00D77FB6" w:rsidRPr="00AB1422" w:rsidRDefault="00D77FB6" w:rsidP="00C93F10">
      <w:pPr>
        <w:pStyle w:val="a3"/>
        <w:numPr>
          <w:ilvl w:val="0"/>
          <w:numId w:val="3"/>
        </w:numPr>
        <w:tabs>
          <w:tab w:val="left" w:pos="851"/>
        </w:tabs>
        <w:spacing w:after="0" w:line="240" w:lineRule="auto"/>
        <w:ind w:left="0" w:firstLine="567"/>
        <w:contextualSpacing w:val="0"/>
        <w:jc w:val="both"/>
        <w:rPr>
          <w:rFonts w:ascii="Times New Roman" w:hAnsi="Times New Roman"/>
        </w:rPr>
      </w:pPr>
      <w:r w:rsidRPr="00AB1422">
        <w:rPr>
          <w:rFonts w:ascii="Times New Roman" w:hAnsi="Times New Roman"/>
        </w:rPr>
        <w:t>Постачальник здійснює остаточний розрахунок з ОСР за попередній розрахунковий період протягом п'яти банківських днів після</w:t>
      </w:r>
      <w:r w:rsidR="00CF5013" w:rsidRPr="00AB1422">
        <w:rPr>
          <w:rFonts w:ascii="Times New Roman" w:hAnsi="Times New Roman"/>
        </w:rPr>
        <w:t xml:space="preserve"> отримання </w:t>
      </w:r>
      <w:r w:rsidR="00BE7076" w:rsidRPr="00AB1422">
        <w:rPr>
          <w:rFonts w:ascii="Times New Roman" w:hAnsi="Times New Roman"/>
        </w:rPr>
        <w:t>«Акту прийняття – здачі наданих послуг з розподілу електроенергії»</w:t>
      </w:r>
      <w:r w:rsidRPr="00AB1422">
        <w:rPr>
          <w:rFonts w:ascii="Times New Roman" w:hAnsi="Times New Roman"/>
        </w:rPr>
        <w:t>. У випадку порушення термінів остаточного розрахунку ОСР має право нарахувати пеню у розмірі 0,2 % від суми прострочення платежу (але не більше подвійної облікової ставки НБУ, яка діє на день прострочення) за кожен день прострочення. Пеня нараховується до повного виконання Постачальником своїх зобов'язань.</w:t>
      </w:r>
    </w:p>
    <w:p w14:paraId="6CDB5048" w14:textId="22B3E224" w:rsidR="00EE358A" w:rsidRPr="00AB1422" w:rsidRDefault="00D77FB6" w:rsidP="00984F2E">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lang w:eastAsia="ru-RU"/>
        </w:rPr>
      </w:pPr>
      <w:r w:rsidRPr="00AB1422">
        <w:rPr>
          <w:rFonts w:ascii="Times New Roman" w:hAnsi="Times New Roman"/>
        </w:rPr>
        <w:t xml:space="preserve">У разі якщо фактичний обсяг оплати </w:t>
      </w:r>
      <w:r w:rsidR="00EB607C" w:rsidRPr="00AB1422">
        <w:rPr>
          <w:rFonts w:ascii="Times New Roman" w:hAnsi="Times New Roman"/>
        </w:rPr>
        <w:t>Постачальником послуг з розподілу</w:t>
      </w:r>
      <w:r w:rsidRPr="00AB1422">
        <w:rPr>
          <w:rFonts w:ascii="Times New Roman" w:hAnsi="Times New Roman"/>
        </w:rPr>
        <w:t xml:space="preserve"> електричної енергії перевищує суму, зазначену в </w:t>
      </w:r>
      <w:r w:rsidR="00BE7076" w:rsidRPr="00AB1422">
        <w:rPr>
          <w:rFonts w:ascii="Times New Roman" w:hAnsi="Times New Roman"/>
        </w:rPr>
        <w:t>«Акті прийняття – здачі наданих послуг з розподілу електроенергії»</w:t>
      </w:r>
      <w:r w:rsidRPr="00AB1422">
        <w:rPr>
          <w:rFonts w:ascii="Times New Roman" w:hAnsi="Times New Roman"/>
        </w:rPr>
        <w:t>, ОСР за умови відсутності вимоги Постачальника про повернення коштів зараховує надлишок як авансовий платіж на наступні розрахункові періоди. Якщо Постачальник висуває вимогу про повернення коштів, кошти підлягають поверненню протягом п'яти банківських днів. У разі недотримання ОСР цих термінів Постачальник має право нарахувати пеню у розмірі 0,2% від суми прострочення платежу (але не більше подвійної облікової ставки НБУ, яка діє на день прострочення) за кожен день прострочення. Пеня нараховується до повного виконання ОСР зобов'язань щодо повернення коштів.</w:t>
      </w:r>
    </w:p>
    <w:tbl>
      <w:tblPr>
        <w:tblpPr w:leftFromText="180" w:rightFromText="180" w:vertAnchor="text" w:horzAnchor="margin" w:tblpXSpec="center" w:tblpY="2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394"/>
      </w:tblGrid>
      <w:tr w:rsidR="00EE358A" w:rsidRPr="00AB1422" w14:paraId="321AADB7" w14:textId="77777777" w:rsidTr="00090CA2">
        <w:trPr>
          <w:trHeight w:val="1223"/>
        </w:trPr>
        <w:tc>
          <w:tcPr>
            <w:tcW w:w="5920" w:type="dxa"/>
            <w:tcBorders>
              <w:top w:val="nil"/>
              <w:left w:val="nil"/>
              <w:bottom w:val="nil"/>
              <w:right w:val="nil"/>
            </w:tcBorders>
          </w:tcPr>
          <w:p w14:paraId="7CC78852" w14:textId="77777777" w:rsidR="00EE358A" w:rsidRPr="00AB1422" w:rsidRDefault="00EE358A" w:rsidP="002626F1">
            <w:pPr>
              <w:tabs>
                <w:tab w:val="left" w:pos="5103"/>
                <w:tab w:val="left" w:pos="8789"/>
              </w:tabs>
              <w:spacing w:after="0" w:line="240" w:lineRule="auto"/>
              <w:rPr>
                <w:rFonts w:ascii="Times New Roman" w:eastAsia="Times New Roman" w:hAnsi="Times New Roman"/>
                <w:lang w:eastAsia="ru-RU"/>
              </w:rPr>
            </w:pPr>
            <w:r w:rsidRPr="00AB1422">
              <w:rPr>
                <w:rFonts w:ascii="Times New Roman" w:eastAsia="Times New Roman" w:hAnsi="Times New Roman"/>
                <w:b/>
                <w:lang w:eastAsia="ru-RU"/>
              </w:rPr>
              <w:t>Оператор системи</w:t>
            </w:r>
          </w:p>
          <w:p w14:paraId="0DC59A18" w14:textId="77777777" w:rsidR="00EE358A" w:rsidRPr="00AB1422" w:rsidRDefault="00EE358A" w:rsidP="002626F1">
            <w:pPr>
              <w:tabs>
                <w:tab w:val="left" w:pos="5387"/>
              </w:tabs>
              <w:spacing w:after="0" w:line="240" w:lineRule="auto"/>
              <w:contextualSpacing/>
              <w:rPr>
                <w:rFonts w:ascii="Times New Roman" w:hAnsi="Times New Roman"/>
              </w:rPr>
            </w:pPr>
            <w:r w:rsidRPr="00AB1422">
              <w:rPr>
                <w:rFonts w:ascii="Times New Roman" w:hAnsi="Times New Roman"/>
                <w:b/>
              </w:rPr>
              <w:t>______________________________</w:t>
            </w:r>
          </w:p>
          <w:p w14:paraId="70B53833" w14:textId="77777777" w:rsidR="00EE358A" w:rsidRPr="00AB1422" w:rsidRDefault="00EE358A" w:rsidP="002626F1">
            <w:pPr>
              <w:tabs>
                <w:tab w:val="left" w:pos="5387"/>
              </w:tabs>
              <w:spacing w:after="0" w:line="240" w:lineRule="auto"/>
              <w:contextualSpacing/>
              <w:rPr>
                <w:rFonts w:ascii="Times New Roman" w:hAnsi="Times New Roman"/>
              </w:rPr>
            </w:pPr>
            <w:r w:rsidRPr="00AB1422">
              <w:rPr>
                <w:rFonts w:ascii="Times New Roman" w:hAnsi="Times New Roman"/>
              </w:rPr>
              <w:t>«____»_______________ 202_ року</w:t>
            </w:r>
          </w:p>
          <w:p w14:paraId="7339E02E" w14:textId="77777777" w:rsidR="00EE358A" w:rsidRPr="00AB1422" w:rsidRDefault="00EE358A" w:rsidP="002626F1">
            <w:pPr>
              <w:tabs>
                <w:tab w:val="left" w:pos="5387"/>
              </w:tabs>
              <w:spacing w:after="0" w:line="240" w:lineRule="auto"/>
              <w:contextualSpacing/>
              <w:rPr>
                <w:rFonts w:ascii="Times New Roman" w:hAnsi="Times New Roman"/>
              </w:rPr>
            </w:pPr>
            <w:r w:rsidRPr="00AB1422">
              <w:rPr>
                <w:rFonts w:ascii="Times New Roman" w:hAnsi="Times New Roman"/>
              </w:rPr>
              <w:t>М.П.</w:t>
            </w:r>
          </w:p>
        </w:tc>
        <w:tc>
          <w:tcPr>
            <w:tcW w:w="4394" w:type="dxa"/>
            <w:tcBorders>
              <w:top w:val="nil"/>
              <w:left w:val="nil"/>
              <w:bottom w:val="nil"/>
              <w:right w:val="nil"/>
            </w:tcBorders>
          </w:tcPr>
          <w:p w14:paraId="0E5A3508" w14:textId="77777777" w:rsidR="00EE358A" w:rsidRPr="00AB1422" w:rsidRDefault="00EE358A" w:rsidP="002626F1">
            <w:pPr>
              <w:tabs>
                <w:tab w:val="left" w:pos="5103"/>
                <w:tab w:val="left" w:pos="8789"/>
              </w:tabs>
              <w:spacing w:after="0" w:line="240" w:lineRule="auto"/>
              <w:rPr>
                <w:rFonts w:ascii="Times New Roman" w:eastAsia="Times New Roman" w:hAnsi="Times New Roman"/>
                <w:lang w:eastAsia="ru-RU"/>
              </w:rPr>
            </w:pPr>
            <w:r w:rsidRPr="00AB1422">
              <w:rPr>
                <w:rFonts w:ascii="Times New Roman" w:eastAsia="Times New Roman" w:hAnsi="Times New Roman"/>
                <w:b/>
                <w:lang w:eastAsia="ru-RU"/>
              </w:rPr>
              <w:t>Постачальник</w:t>
            </w:r>
          </w:p>
          <w:p w14:paraId="35B1322C" w14:textId="77777777" w:rsidR="00EE358A" w:rsidRPr="00AB1422" w:rsidRDefault="00EE358A" w:rsidP="002626F1">
            <w:pPr>
              <w:tabs>
                <w:tab w:val="left" w:pos="5387"/>
              </w:tabs>
              <w:spacing w:after="0" w:line="240" w:lineRule="auto"/>
              <w:contextualSpacing/>
              <w:rPr>
                <w:rFonts w:ascii="Times New Roman" w:hAnsi="Times New Roman"/>
              </w:rPr>
            </w:pPr>
            <w:r w:rsidRPr="00AB1422">
              <w:rPr>
                <w:rFonts w:ascii="Times New Roman" w:hAnsi="Times New Roman"/>
                <w:b/>
              </w:rPr>
              <w:t>______________________________</w:t>
            </w:r>
          </w:p>
          <w:p w14:paraId="69DE99A6" w14:textId="77777777" w:rsidR="00EE358A" w:rsidRPr="00AB1422" w:rsidRDefault="00EE358A" w:rsidP="002626F1">
            <w:pPr>
              <w:tabs>
                <w:tab w:val="left" w:pos="5387"/>
              </w:tabs>
              <w:spacing w:after="0" w:line="240" w:lineRule="auto"/>
              <w:contextualSpacing/>
              <w:rPr>
                <w:rFonts w:ascii="Times New Roman" w:hAnsi="Times New Roman"/>
              </w:rPr>
            </w:pPr>
            <w:r w:rsidRPr="00AB1422">
              <w:rPr>
                <w:rFonts w:ascii="Times New Roman" w:hAnsi="Times New Roman"/>
              </w:rPr>
              <w:t>«____»_______________ 202_ року</w:t>
            </w:r>
          </w:p>
          <w:p w14:paraId="1BB96314" w14:textId="77777777" w:rsidR="00EE358A" w:rsidRPr="00AB1422" w:rsidRDefault="00EE358A" w:rsidP="002626F1">
            <w:pPr>
              <w:tabs>
                <w:tab w:val="left" w:pos="5387"/>
              </w:tabs>
              <w:spacing w:after="0" w:line="240" w:lineRule="auto"/>
              <w:contextualSpacing/>
              <w:rPr>
                <w:rFonts w:ascii="Times New Roman" w:hAnsi="Times New Roman"/>
              </w:rPr>
            </w:pPr>
            <w:r w:rsidRPr="00AB1422">
              <w:rPr>
                <w:rFonts w:ascii="Times New Roman" w:hAnsi="Times New Roman"/>
              </w:rPr>
              <w:t>М.П.</w:t>
            </w:r>
          </w:p>
        </w:tc>
      </w:tr>
    </w:tbl>
    <w:p w14:paraId="6900D2AE" w14:textId="77777777" w:rsidR="00EE358A" w:rsidRPr="00AB1422" w:rsidRDefault="00EE358A" w:rsidP="00EE358A">
      <w:pPr>
        <w:spacing w:after="0" w:line="240" w:lineRule="auto"/>
        <w:ind w:firstLine="284"/>
        <w:jc w:val="both"/>
        <w:rPr>
          <w:rFonts w:ascii="Times New Roman" w:eastAsia="Times New Roman" w:hAnsi="Times New Roman"/>
          <w:lang w:eastAsia="ru-RU"/>
        </w:rPr>
      </w:pPr>
    </w:p>
    <w:sectPr w:rsidR="00EE358A" w:rsidRPr="00AB1422" w:rsidSect="00AB1422">
      <w:pgSz w:w="11906" w:h="16838"/>
      <w:pgMar w:top="289"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C70"/>
    <w:multiLevelType w:val="hybridMultilevel"/>
    <w:tmpl w:val="AD3206AC"/>
    <w:lvl w:ilvl="0" w:tplc="D7CE8C8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CF64946"/>
    <w:multiLevelType w:val="hybridMultilevel"/>
    <w:tmpl w:val="D8B65E10"/>
    <w:lvl w:ilvl="0" w:tplc="250EDFEA">
      <w:start w:val="1"/>
      <w:numFmt w:val="decimal"/>
      <w:lvlText w:val="%1."/>
      <w:lvlJc w:val="left"/>
      <w:pPr>
        <w:ind w:left="4330" w:hanging="360"/>
      </w:pPr>
      <w:rPr>
        <w:rFonts w:cs="Times New Roman" w:hint="default"/>
      </w:rPr>
    </w:lvl>
    <w:lvl w:ilvl="1" w:tplc="04220019" w:tentative="1">
      <w:start w:val="1"/>
      <w:numFmt w:val="lowerLetter"/>
      <w:lvlText w:val="%2."/>
      <w:lvlJc w:val="left"/>
      <w:pPr>
        <w:ind w:left="1932" w:hanging="360"/>
      </w:pPr>
      <w:rPr>
        <w:rFonts w:cs="Times New Roman"/>
      </w:rPr>
    </w:lvl>
    <w:lvl w:ilvl="2" w:tplc="0422001B" w:tentative="1">
      <w:start w:val="1"/>
      <w:numFmt w:val="lowerRoman"/>
      <w:lvlText w:val="%3."/>
      <w:lvlJc w:val="right"/>
      <w:pPr>
        <w:ind w:left="2652" w:hanging="180"/>
      </w:pPr>
      <w:rPr>
        <w:rFonts w:cs="Times New Roman"/>
      </w:rPr>
    </w:lvl>
    <w:lvl w:ilvl="3" w:tplc="0422000F" w:tentative="1">
      <w:start w:val="1"/>
      <w:numFmt w:val="decimal"/>
      <w:lvlText w:val="%4."/>
      <w:lvlJc w:val="left"/>
      <w:pPr>
        <w:ind w:left="3372" w:hanging="360"/>
      </w:pPr>
      <w:rPr>
        <w:rFonts w:cs="Times New Roman"/>
      </w:rPr>
    </w:lvl>
    <w:lvl w:ilvl="4" w:tplc="04220019" w:tentative="1">
      <w:start w:val="1"/>
      <w:numFmt w:val="lowerLetter"/>
      <w:lvlText w:val="%5."/>
      <w:lvlJc w:val="left"/>
      <w:pPr>
        <w:ind w:left="4092" w:hanging="360"/>
      </w:pPr>
      <w:rPr>
        <w:rFonts w:cs="Times New Roman"/>
      </w:rPr>
    </w:lvl>
    <w:lvl w:ilvl="5" w:tplc="0422001B" w:tentative="1">
      <w:start w:val="1"/>
      <w:numFmt w:val="lowerRoman"/>
      <w:lvlText w:val="%6."/>
      <w:lvlJc w:val="right"/>
      <w:pPr>
        <w:ind w:left="4812" w:hanging="180"/>
      </w:pPr>
      <w:rPr>
        <w:rFonts w:cs="Times New Roman"/>
      </w:rPr>
    </w:lvl>
    <w:lvl w:ilvl="6" w:tplc="0422000F" w:tentative="1">
      <w:start w:val="1"/>
      <w:numFmt w:val="decimal"/>
      <w:lvlText w:val="%7."/>
      <w:lvlJc w:val="left"/>
      <w:pPr>
        <w:ind w:left="5532" w:hanging="360"/>
      </w:pPr>
      <w:rPr>
        <w:rFonts w:cs="Times New Roman"/>
      </w:rPr>
    </w:lvl>
    <w:lvl w:ilvl="7" w:tplc="04220019" w:tentative="1">
      <w:start w:val="1"/>
      <w:numFmt w:val="lowerLetter"/>
      <w:lvlText w:val="%8."/>
      <w:lvlJc w:val="left"/>
      <w:pPr>
        <w:ind w:left="6252" w:hanging="360"/>
      </w:pPr>
      <w:rPr>
        <w:rFonts w:cs="Times New Roman"/>
      </w:rPr>
    </w:lvl>
    <w:lvl w:ilvl="8" w:tplc="0422001B" w:tentative="1">
      <w:start w:val="1"/>
      <w:numFmt w:val="lowerRoman"/>
      <w:lvlText w:val="%9."/>
      <w:lvlJc w:val="right"/>
      <w:pPr>
        <w:ind w:left="6972" w:hanging="180"/>
      </w:pPr>
      <w:rPr>
        <w:rFonts w:cs="Times New Roman"/>
      </w:rPr>
    </w:lvl>
  </w:abstractNum>
  <w:abstractNum w:abstractNumId="2" w15:restartNumberingAfterBreak="0">
    <w:nsid w:val="252C3F14"/>
    <w:multiLevelType w:val="hybridMultilevel"/>
    <w:tmpl w:val="77E04EA0"/>
    <w:lvl w:ilvl="0" w:tplc="B9AC91F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1CB6465"/>
    <w:multiLevelType w:val="hybridMultilevel"/>
    <w:tmpl w:val="C63EE250"/>
    <w:lvl w:ilvl="0" w:tplc="AB5C9D86">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4" w15:restartNumberingAfterBreak="0">
    <w:nsid w:val="31ED0806"/>
    <w:multiLevelType w:val="hybridMultilevel"/>
    <w:tmpl w:val="21F8785C"/>
    <w:lvl w:ilvl="0" w:tplc="1AEC4FC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096D6A"/>
    <w:multiLevelType w:val="hybridMultilevel"/>
    <w:tmpl w:val="7F72D842"/>
    <w:lvl w:ilvl="0" w:tplc="D7CE8C8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99C4C5D"/>
    <w:multiLevelType w:val="hybridMultilevel"/>
    <w:tmpl w:val="548ABD10"/>
    <w:lvl w:ilvl="0" w:tplc="59382A4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BF12EAA"/>
    <w:multiLevelType w:val="hybridMultilevel"/>
    <w:tmpl w:val="5F269B1E"/>
    <w:lvl w:ilvl="0" w:tplc="FE189A3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5DCE000A"/>
    <w:multiLevelType w:val="hybridMultilevel"/>
    <w:tmpl w:val="429E0C26"/>
    <w:lvl w:ilvl="0" w:tplc="250EDFEA">
      <w:start w:val="1"/>
      <w:numFmt w:val="decimal"/>
      <w:lvlText w:val="%1."/>
      <w:lvlJc w:val="left"/>
      <w:pPr>
        <w:ind w:left="1789" w:hanging="360"/>
      </w:pPr>
      <w:rPr>
        <w:rFonts w:cs="Times New Roman" w:hint="default"/>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abstractNum w:abstractNumId="9" w15:restartNumberingAfterBreak="0">
    <w:nsid w:val="66407072"/>
    <w:multiLevelType w:val="hybridMultilevel"/>
    <w:tmpl w:val="36B64B0A"/>
    <w:lvl w:ilvl="0" w:tplc="C7382DFE">
      <w:start w:val="1"/>
      <w:numFmt w:val="bullet"/>
      <w:lvlText w:val=""/>
      <w:lvlJc w:val="left"/>
      <w:pPr>
        <w:ind w:left="1800" w:hanging="360"/>
      </w:pPr>
      <w:rPr>
        <w:rFonts w:ascii="Symbol" w:hAnsi="Symbol" w:hint="default"/>
      </w:rPr>
    </w:lvl>
    <w:lvl w:ilvl="1" w:tplc="D7CE8C8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074C03"/>
    <w:multiLevelType w:val="hybridMultilevel"/>
    <w:tmpl w:val="866C4C1E"/>
    <w:lvl w:ilvl="0" w:tplc="D7CE8C82">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1" w15:restartNumberingAfterBreak="0">
    <w:nsid w:val="6F40348C"/>
    <w:multiLevelType w:val="hybridMultilevel"/>
    <w:tmpl w:val="5CACCF76"/>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12" w15:restartNumberingAfterBreak="0">
    <w:nsid w:val="70467DB2"/>
    <w:multiLevelType w:val="hybridMultilevel"/>
    <w:tmpl w:val="45043B2C"/>
    <w:lvl w:ilvl="0" w:tplc="D7CE8C82">
      <w:start w:val="1"/>
      <w:numFmt w:val="bullet"/>
      <w:lvlText w:val=""/>
      <w:lvlJc w:val="left"/>
      <w:pPr>
        <w:ind w:left="1789" w:hanging="360"/>
      </w:pPr>
      <w:rPr>
        <w:rFonts w:ascii="Symbol" w:hAnsi="Symbol" w:hint="default"/>
      </w:rPr>
    </w:lvl>
    <w:lvl w:ilvl="1" w:tplc="0422000F">
      <w:start w:val="1"/>
      <w:numFmt w:val="decimal"/>
      <w:lvlText w:val="%2."/>
      <w:lvlJc w:val="left"/>
      <w:pPr>
        <w:ind w:left="1440" w:hanging="360"/>
      </w:pPr>
      <w:rPr>
        <w:rFonts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9"/>
  </w:num>
  <w:num w:numId="6">
    <w:abstractNumId w:val="8"/>
  </w:num>
  <w:num w:numId="7">
    <w:abstractNumId w:val="0"/>
  </w:num>
  <w:num w:numId="8">
    <w:abstractNumId w:val="7"/>
  </w:num>
  <w:num w:numId="9">
    <w:abstractNumId w:val="5"/>
  </w:num>
  <w:num w:numId="10">
    <w:abstractNumId w:val="2"/>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6E8"/>
    <w:rsid w:val="00041F2D"/>
    <w:rsid w:val="00080036"/>
    <w:rsid w:val="000866DE"/>
    <w:rsid w:val="00090CA2"/>
    <w:rsid w:val="00092687"/>
    <w:rsid w:val="000A19AC"/>
    <w:rsid w:val="000D1AD2"/>
    <w:rsid w:val="0011185E"/>
    <w:rsid w:val="001306C7"/>
    <w:rsid w:val="00132760"/>
    <w:rsid w:val="00144D9E"/>
    <w:rsid w:val="00156790"/>
    <w:rsid w:val="00174C9F"/>
    <w:rsid w:val="00186457"/>
    <w:rsid w:val="001E120F"/>
    <w:rsid w:val="001E1D4F"/>
    <w:rsid w:val="001F0C26"/>
    <w:rsid w:val="00273D3A"/>
    <w:rsid w:val="00296AFF"/>
    <w:rsid w:val="002C376A"/>
    <w:rsid w:val="002F7A8C"/>
    <w:rsid w:val="00315C18"/>
    <w:rsid w:val="00347552"/>
    <w:rsid w:val="00373325"/>
    <w:rsid w:val="0038722C"/>
    <w:rsid w:val="003C5FE6"/>
    <w:rsid w:val="004211C6"/>
    <w:rsid w:val="00483830"/>
    <w:rsid w:val="004E01E7"/>
    <w:rsid w:val="004F7191"/>
    <w:rsid w:val="0050060E"/>
    <w:rsid w:val="005076D6"/>
    <w:rsid w:val="005178EB"/>
    <w:rsid w:val="005228F1"/>
    <w:rsid w:val="00591725"/>
    <w:rsid w:val="005D0658"/>
    <w:rsid w:val="005E41E4"/>
    <w:rsid w:val="00603540"/>
    <w:rsid w:val="006066E8"/>
    <w:rsid w:val="006342C2"/>
    <w:rsid w:val="0066691B"/>
    <w:rsid w:val="006C41A0"/>
    <w:rsid w:val="006D5E43"/>
    <w:rsid w:val="0070425D"/>
    <w:rsid w:val="007342F1"/>
    <w:rsid w:val="00746FA9"/>
    <w:rsid w:val="00747717"/>
    <w:rsid w:val="007670DA"/>
    <w:rsid w:val="007672EF"/>
    <w:rsid w:val="00785DE2"/>
    <w:rsid w:val="007958D9"/>
    <w:rsid w:val="007C0632"/>
    <w:rsid w:val="00806E10"/>
    <w:rsid w:val="00812364"/>
    <w:rsid w:val="00825280"/>
    <w:rsid w:val="0082577B"/>
    <w:rsid w:val="008363BC"/>
    <w:rsid w:val="008425F2"/>
    <w:rsid w:val="00846304"/>
    <w:rsid w:val="008664DE"/>
    <w:rsid w:val="00884163"/>
    <w:rsid w:val="00885FDF"/>
    <w:rsid w:val="0089010F"/>
    <w:rsid w:val="008B6B19"/>
    <w:rsid w:val="008D429C"/>
    <w:rsid w:val="008E5933"/>
    <w:rsid w:val="008F2F20"/>
    <w:rsid w:val="0091770A"/>
    <w:rsid w:val="00927789"/>
    <w:rsid w:val="00956C5B"/>
    <w:rsid w:val="00984F2E"/>
    <w:rsid w:val="00997C99"/>
    <w:rsid w:val="009C33E0"/>
    <w:rsid w:val="00A07A7A"/>
    <w:rsid w:val="00A11F81"/>
    <w:rsid w:val="00A216DB"/>
    <w:rsid w:val="00A30FE4"/>
    <w:rsid w:val="00A33ABE"/>
    <w:rsid w:val="00A75F0D"/>
    <w:rsid w:val="00AA2921"/>
    <w:rsid w:val="00AB1422"/>
    <w:rsid w:val="00AB2224"/>
    <w:rsid w:val="00AC1489"/>
    <w:rsid w:val="00AF27FA"/>
    <w:rsid w:val="00AF2D6D"/>
    <w:rsid w:val="00B016DA"/>
    <w:rsid w:val="00B05683"/>
    <w:rsid w:val="00B72527"/>
    <w:rsid w:val="00B91189"/>
    <w:rsid w:val="00B92497"/>
    <w:rsid w:val="00BE6B1B"/>
    <w:rsid w:val="00BE7076"/>
    <w:rsid w:val="00C26C30"/>
    <w:rsid w:val="00C825FF"/>
    <w:rsid w:val="00C84D2C"/>
    <w:rsid w:val="00C92730"/>
    <w:rsid w:val="00C93F10"/>
    <w:rsid w:val="00CB2E9D"/>
    <w:rsid w:val="00CC65AF"/>
    <w:rsid w:val="00CD116E"/>
    <w:rsid w:val="00CE317E"/>
    <w:rsid w:val="00CF1400"/>
    <w:rsid w:val="00CF2D19"/>
    <w:rsid w:val="00CF5013"/>
    <w:rsid w:val="00CF548C"/>
    <w:rsid w:val="00D66F48"/>
    <w:rsid w:val="00D77FB6"/>
    <w:rsid w:val="00DA19E2"/>
    <w:rsid w:val="00E002B5"/>
    <w:rsid w:val="00E542B6"/>
    <w:rsid w:val="00E542F8"/>
    <w:rsid w:val="00EB3581"/>
    <w:rsid w:val="00EB607C"/>
    <w:rsid w:val="00ED3213"/>
    <w:rsid w:val="00EE358A"/>
    <w:rsid w:val="00F06FA7"/>
    <w:rsid w:val="00F13F24"/>
    <w:rsid w:val="00F76515"/>
    <w:rsid w:val="00FF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E0AD1"/>
  <w15:docId w15:val="{4C008D75-89F8-424B-8E26-0F13D902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F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66E8"/>
    <w:pPr>
      <w:ind w:left="720"/>
      <w:contextualSpacing/>
    </w:pPr>
  </w:style>
  <w:style w:type="paragraph" w:styleId="a4">
    <w:name w:val="Balloon Text"/>
    <w:basedOn w:val="a"/>
    <w:link w:val="a5"/>
    <w:uiPriority w:val="99"/>
    <w:semiHidden/>
    <w:rsid w:val="00CF548C"/>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CF5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4190-729F-43B2-ADB0-31FF94DC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2976</Words>
  <Characters>1697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Дишлюк Тетяна Вячеславівна</dc:creator>
  <cp:lastModifiedBy>Беребера Олександр Сергійович</cp:lastModifiedBy>
  <cp:revision>8</cp:revision>
  <cp:lastPrinted>2021-01-21T14:09:00Z</cp:lastPrinted>
  <dcterms:created xsi:type="dcterms:W3CDTF">2023-02-22T11:53:00Z</dcterms:created>
  <dcterms:modified xsi:type="dcterms:W3CDTF">2024-07-04T07:58:00Z</dcterms:modified>
</cp:coreProperties>
</file>